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6313" w14:textId="77777777" w:rsidR="00445425" w:rsidRDefault="00445425" w:rsidP="00445425">
      <w:pPr>
        <w:jc w:val="both"/>
        <w:rPr>
          <w:rStyle w:val="Ninguno"/>
          <w:rFonts w:ascii="Times New Roman" w:hAnsi="Times New Roman" w:cs="Times New Roman"/>
          <w:b/>
          <w:bCs/>
        </w:rPr>
      </w:pPr>
    </w:p>
    <w:p w14:paraId="2BA932D6" w14:textId="45367E34" w:rsidR="00445425" w:rsidRPr="00445425" w:rsidRDefault="00445425" w:rsidP="00445425">
      <w:pPr>
        <w:jc w:val="both"/>
        <w:rPr>
          <w:rFonts w:ascii="Times New Roman" w:hAnsi="Times New Roman" w:cs="Times New Roman"/>
        </w:rPr>
      </w:pPr>
      <w:r w:rsidRPr="00445425">
        <w:rPr>
          <w:rStyle w:val="Ninguno"/>
          <w:rFonts w:ascii="Times New Roman" w:hAnsi="Times New Roman" w:cs="Times New Roman"/>
          <w:b/>
          <w:bCs/>
        </w:rPr>
        <w:t xml:space="preserve">David Pérez Sánchez, </w:t>
      </w:r>
      <w:r w:rsidRPr="00445425">
        <w:rPr>
          <w:rStyle w:val="Ninguno"/>
          <w:rFonts w:ascii="Times New Roman" w:hAnsi="Times New Roman" w:cs="Times New Roman"/>
        </w:rPr>
        <w:t xml:space="preserve">portavoz del Grupo Municipal Popular en el Ayuntamiento de Abarán, presenta ante el pleno ordinario del mes de </w:t>
      </w:r>
      <w:r>
        <w:rPr>
          <w:rStyle w:val="Ninguno"/>
          <w:rFonts w:ascii="Times New Roman" w:hAnsi="Times New Roman" w:cs="Times New Roman"/>
        </w:rPr>
        <w:t>enero</w:t>
      </w:r>
      <w:r w:rsidRPr="00445425">
        <w:rPr>
          <w:rStyle w:val="Ninguno"/>
          <w:rFonts w:ascii="Times New Roman" w:hAnsi="Times New Roman" w:cs="Times New Roman"/>
        </w:rPr>
        <w:t>, para su estudio, debate y aprobación, si procede, la siguiente</w:t>
      </w:r>
      <w:r w:rsidRPr="00445425">
        <w:rPr>
          <w:rStyle w:val="Ninguno"/>
          <w:rFonts w:ascii="Times New Roman" w:hAnsi="Times New Roman" w:cs="Times New Roman"/>
          <w:b/>
          <w:bCs/>
        </w:rPr>
        <w:t xml:space="preserve"> MOCIÓN </w:t>
      </w:r>
      <w:r w:rsidRPr="00445425">
        <w:rPr>
          <w:rStyle w:val="Ninguno"/>
          <w:rFonts w:ascii="Times New Roman" w:hAnsi="Times New Roman" w:cs="Times New Roman"/>
        </w:rPr>
        <w:t xml:space="preserve">para </w:t>
      </w:r>
      <w:r w:rsidRPr="00445425">
        <w:rPr>
          <w:rFonts w:ascii="Times New Roman" w:hAnsi="Times New Roman" w:cs="Times New Roman"/>
          <w:b/>
          <w:bCs/>
        </w:rPr>
        <w:t>LA FLEXIBILIZACIÓN DE LOS PLAZOS DE APLAZAMIENTO Y FRACCIONAMIENTO DE DEUDAS DE DERECHO PÚBLICO EN EL MUNICIPIO DE ABARÁN</w:t>
      </w:r>
    </w:p>
    <w:p w14:paraId="002C794F" w14:textId="77777777" w:rsidR="00445425" w:rsidRDefault="00445425" w:rsidP="00445425">
      <w:pPr>
        <w:jc w:val="center"/>
        <w:rPr>
          <w:rFonts w:ascii="Times New Roman" w:hAnsi="Times New Roman" w:cs="Times New Roman"/>
        </w:rPr>
      </w:pPr>
    </w:p>
    <w:p w14:paraId="23585AFA" w14:textId="003EB182" w:rsidR="00445425" w:rsidRPr="00445425" w:rsidRDefault="00445425" w:rsidP="00445425">
      <w:pPr>
        <w:jc w:val="center"/>
        <w:rPr>
          <w:rFonts w:ascii="Times New Roman" w:hAnsi="Times New Roman" w:cs="Times New Roman"/>
        </w:rPr>
      </w:pPr>
      <w:r w:rsidRPr="00445425">
        <w:rPr>
          <w:rFonts w:ascii="Times New Roman" w:hAnsi="Times New Roman" w:cs="Times New Roman"/>
        </w:rPr>
        <w:t>EXPOSICIÓN DE MOTIVOS</w:t>
      </w:r>
    </w:p>
    <w:p w14:paraId="0FA6F8EC" w14:textId="77777777" w:rsidR="00445425" w:rsidRPr="00445425" w:rsidRDefault="00445425" w:rsidP="00445425">
      <w:pPr>
        <w:jc w:val="both"/>
        <w:rPr>
          <w:rFonts w:ascii="Times New Roman" w:hAnsi="Times New Roman" w:cs="Times New Roman"/>
        </w:rPr>
      </w:pPr>
      <w:r w:rsidRPr="00445425">
        <w:rPr>
          <w:rFonts w:ascii="Times New Roman" w:hAnsi="Times New Roman" w:cs="Times New Roman"/>
        </w:rPr>
        <w:t>El artículo 32 de la vigente Ordenanza Fiscal General del Ayuntamiento de Abarán regula los aplazamientos y fraccionamientos de deudas de derecho público. Dicha regulación establece límites temporales estrictos —en muchos casos entre 3 y 24 meses— que, si bien pudieron ser adecuados en el momento de su aprobación, hoy están mostrando una insuficiente capacidad de adaptación a la realidad socioeconómica actual.</w:t>
      </w:r>
    </w:p>
    <w:p w14:paraId="13A82FE2" w14:textId="28C63564" w:rsidR="00445425" w:rsidRPr="00445425" w:rsidRDefault="00445425" w:rsidP="00445425">
      <w:pPr>
        <w:jc w:val="both"/>
        <w:rPr>
          <w:rFonts w:ascii="Times New Roman" w:hAnsi="Times New Roman" w:cs="Times New Roman"/>
        </w:rPr>
      </w:pPr>
      <w:r w:rsidRPr="00445425">
        <w:rPr>
          <w:rFonts w:ascii="Times New Roman" w:hAnsi="Times New Roman" w:cs="Times New Roman"/>
        </w:rPr>
        <w:t xml:space="preserve">En los últimos meses, han sido numerosos los vecinos que se han acercado a este </w:t>
      </w:r>
      <w:r>
        <w:rPr>
          <w:rFonts w:ascii="Times New Roman" w:hAnsi="Times New Roman" w:cs="Times New Roman"/>
        </w:rPr>
        <w:t>grupo</w:t>
      </w:r>
      <w:r w:rsidRPr="00445425">
        <w:rPr>
          <w:rFonts w:ascii="Times New Roman" w:hAnsi="Times New Roman" w:cs="Times New Roman"/>
        </w:rPr>
        <w:t xml:space="preserve"> manifestando su preocupación por la rigidez de los plazos de pago permitidos, especialmente en el caso de sanciones urbanísticas o deudas de importe medio-alto. Muchos ciudadanos, aun deseando cumplir voluntariamente con sus obligaciones, no pueden asumir cuotas mensuales tan elevadas, lo que los coloca en riesgo de entrar en vía ejecutiva con el consiguiente recargo, aumentando la presión económica sobre familias ya tensionadas.</w:t>
      </w:r>
    </w:p>
    <w:p w14:paraId="3641A2C8" w14:textId="77777777" w:rsidR="00445425" w:rsidRPr="00445425" w:rsidRDefault="00445425" w:rsidP="00445425">
      <w:pPr>
        <w:jc w:val="both"/>
        <w:rPr>
          <w:rFonts w:ascii="Times New Roman" w:hAnsi="Times New Roman" w:cs="Times New Roman"/>
        </w:rPr>
      </w:pPr>
      <w:r w:rsidRPr="00445425">
        <w:rPr>
          <w:rFonts w:ascii="Times New Roman" w:hAnsi="Times New Roman" w:cs="Times New Roman"/>
        </w:rPr>
        <w:t>España atraviesa un contexto económico caracterizado por:</w:t>
      </w:r>
    </w:p>
    <w:p w14:paraId="0F0E968B" w14:textId="194FB22B" w:rsidR="00445425" w:rsidRPr="00445425" w:rsidRDefault="00445425" w:rsidP="00445425">
      <w:pPr>
        <w:pStyle w:val="Prrafodelista"/>
        <w:numPr>
          <w:ilvl w:val="0"/>
          <w:numId w:val="2"/>
        </w:numPr>
        <w:jc w:val="both"/>
        <w:rPr>
          <w:rFonts w:ascii="Times New Roman" w:hAnsi="Times New Roman" w:cs="Times New Roman"/>
        </w:rPr>
      </w:pPr>
      <w:r w:rsidRPr="00445425">
        <w:rPr>
          <w:rFonts w:ascii="Times New Roman" w:hAnsi="Times New Roman" w:cs="Times New Roman"/>
        </w:rPr>
        <w:t>Incremento del coste de vida y alza de precios básicos.</w:t>
      </w:r>
    </w:p>
    <w:p w14:paraId="3DB21BB4" w14:textId="251A01CF" w:rsidR="00445425" w:rsidRPr="00445425" w:rsidRDefault="00445425" w:rsidP="00445425">
      <w:pPr>
        <w:pStyle w:val="Prrafodelista"/>
        <w:numPr>
          <w:ilvl w:val="0"/>
          <w:numId w:val="2"/>
        </w:numPr>
        <w:jc w:val="both"/>
        <w:rPr>
          <w:rFonts w:ascii="Times New Roman" w:hAnsi="Times New Roman" w:cs="Times New Roman"/>
        </w:rPr>
      </w:pPr>
      <w:r w:rsidRPr="00445425">
        <w:rPr>
          <w:rFonts w:ascii="Times New Roman" w:hAnsi="Times New Roman" w:cs="Times New Roman"/>
        </w:rPr>
        <w:t>Estancamiento salarial en amplios sectores laborales.</w:t>
      </w:r>
    </w:p>
    <w:p w14:paraId="74DD8D9F" w14:textId="5A4E641C" w:rsidR="00445425" w:rsidRPr="00445425" w:rsidRDefault="00445425" w:rsidP="00445425">
      <w:pPr>
        <w:pStyle w:val="Prrafodelista"/>
        <w:numPr>
          <w:ilvl w:val="0"/>
          <w:numId w:val="2"/>
        </w:numPr>
        <w:jc w:val="both"/>
        <w:rPr>
          <w:rFonts w:ascii="Times New Roman" w:hAnsi="Times New Roman" w:cs="Times New Roman"/>
        </w:rPr>
      </w:pPr>
      <w:r w:rsidRPr="00445425">
        <w:rPr>
          <w:rFonts w:ascii="Times New Roman" w:hAnsi="Times New Roman" w:cs="Times New Roman"/>
        </w:rPr>
        <w:t>Elevado nivel de endeudamiento de familias y autónomos.</w:t>
      </w:r>
    </w:p>
    <w:p w14:paraId="728F06AB" w14:textId="3954AF25" w:rsidR="00445425" w:rsidRPr="00445425" w:rsidRDefault="00445425" w:rsidP="00445425">
      <w:pPr>
        <w:pStyle w:val="Prrafodelista"/>
        <w:numPr>
          <w:ilvl w:val="0"/>
          <w:numId w:val="2"/>
        </w:numPr>
        <w:jc w:val="both"/>
        <w:rPr>
          <w:rFonts w:ascii="Times New Roman" w:hAnsi="Times New Roman" w:cs="Times New Roman"/>
        </w:rPr>
      </w:pPr>
      <w:r w:rsidRPr="00445425">
        <w:rPr>
          <w:rFonts w:ascii="Times New Roman" w:hAnsi="Times New Roman" w:cs="Times New Roman"/>
        </w:rPr>
        <w:t>Fragilidad financiera en pequeñas empresas y comercios locales.</w:t>
      </w:r>
    </w:p>
    <w:p w14:paraId="73FFBC56" w14:textId="785CC57A" w:rsidR="00445425" w:rsidRPr="00445425" w:rsidRDefault="00445425" w:rsidP="00445425">
      <w:pPr>
        <w:pStyle w:val="Prrafodelista"/>
        <w:numPr>
          <w:ilvl w:val="0"/>
          <w:numId w:val="2"/>
        </w:numPr>
        <w:jc w:val="both"/>
        <w:rPr>
          <w:rFonts w:ascii="Times New Roman" w:hAnsi="Times New Roman" w:cs="Times New Roman"/>
        </w:rPr>
      </w:pPr>
      <w:r w:rsidRPr="00445425">
        <w:rPr>
          <w:rFonts w:ascii="Times New Roman" w:hAnsi="Times New Roman" w:cs="Times New Roman"/>
        </w:rPr>
        <w:t>Incertidumbre económica derivada de ciclos inflacionarios recientes.</w:t>
      </w:r>
    </w:p>
    <w:p w14:paraId="34E936F0" w14:textId="77777777" w:rsidR="00445425" w:rsidRPr="00445425" w:rsidRDefault="00445425" w:rsidP="00445425">
      <w:pPr>
        <w:jc w:val="both"/>
        <w:rPr>
          <w:rFonts w:ascii="Times New Roman" w:hAnsi="Times New Roman" w:cs="Times New Roman"/>
        </w:rPr>
      </w:pPr>
      <w:r w:rsidRPr="00445425">
        <w:rPr>
          <w:rFonts w:ascii="Times New Roman" w:hAnsi="Times New Roman" w:cs="Times New Roman"/>
        </w:rPr>
        <w:t>En un escenario así, los poderes públicos locales deben mostrar sensibilidad y responsabilidad. El objetivo de una administración cercana no es asfixiar al contribuyente, sino facilitar que quienes quieren cumplir puedan hacerlo de manera ordenada, realista y compatible con su capacidad económica.</w:t>
      </w:r>
    </w:p>
    <w:p w14:paraId="71ED6D3A" w14:textId="77777777" w:rsidR="00445425" w:rsidRPr="00445425" w:rsidRDefault="00445425" w:rsidP="00445425">
      <w:pPr>
        <w:jc w:val="both"/>
        <w:rPr>
          <w:rFonts w:ascii="Times New Roman" w:hAnsi="Times New Roman" w:cs="Times New Roman"/>
        </w:rPr>
      </w:pPr>
      <w:r w:rsidRPr="00445425">
        <w:rPr>
          <w:rFonts w:ascii="Times New Roman" w:hAnsi="Times New Roman" w:cs="Times New Roman"/>
        </w:rPr>
        <w:t>La propia ordenanza municipal, en su artículo 32.6, ya contempla que en casos excepcionales y debidamente documentados se puedan conceder plazos superiores a los establecidos. Sin embargo, en la práctica, estos supuestos no dan respuesta suficiente a la situación generalizada que vive un porcentaje significativo de vecinos que no cumplen estrictamente el perfil de vulnerabilidad, pero sí se encuentran en dificultades económicas objetivas.</w:t>
      </w:r>
    </w:p>
    <w:p w14:paraId="3C843452" w14:textId="77777777" w:rsidR="00445425" w:rsidRPr="00445425" w:rsidRDefault="00445425" w:rsidP="00445425">
      <w:pPr>
        <w:jc w:val="both"/>
        <w:rPr>
          <w:rFonts w:ascii="Times New Roman" w:hAnsi="Times New Roman" w:cs="Times New Roman"/>
        </w:rPr>
      </w:pPr>
      <w:r w:rsidRPr="00445425">
        <w:rPr>
          <w:rFonts w:ascii="Times New Roman" w:hAnsi="Times New Roman" w:cs="Times New Roman"/>
        </w:rPr>
        <w:t xml:space="preserve">Además, el apartado 10 del mismo artículo permite que la Alcaldía, previo informe de Tesorería, pueda modificar los plazos y baremos existentes, lo que evidencia que el </w:t>
      </w:r>
      <w:r w:rsidRPr="00445425">
        <w:rPr>
          <w:rFonts w:ascii="Times New Roman" w:hAnsi="Times New Roman" w:cs="Times New Roman"/>
        </w:rPr>
        <w:lastRenderedPageBreak/>
        <w:t>espíritu de la normativa reconoce que los criterios deben poder adaptarse a las circunstancias sociales y económicas del momento.</w:t>
      </w:r>
    </w:p>
    <w:p w14:paraId="36D7F6FF" w14:textId="77777777" w:rsidR="00445425" w:rsidRPr="00445425" w:rsidRDefault="00445425" w:rsidP="00445425">
      <w:pPr>
        <w:jc w:val="both"/>
        <w:rPr>
          <w:rFonts w:ascii="Times New Roman" w:hAnsi="Times New Roman" w:cs="Times New Roman"/>
        </w:rPr>
      </w:pPr>
      <w:r w:rsidRPr="00445425">
        <w:rPr>
          <w:rFonts w:ascii="Times New Roman" w:hAnsi="Times New Roman" w:cs="Times New Roman"/>
        </w:rPr>
        <w:t>Por ello, resulta oportuno, responsable y necesario revisar y ampliar los plazos máximos de fraccionamiento, estableciendo un marco más amplio y flexible que permita llegar hasta 48 o 60 meses en determinados supuestos, siempre con garantías y valoración técnica, pero sin que el ciudadano deba demostrar situaciones extremas para acogerse a dicha opción.</w:t>
      </w:r>
    </w:p>
    <w:p w14:paraId="162B59E0" w14:textId="77777777" w:rsidR="00445425" w:rsidRPr="00445425" w:rsidRDefault="00445425" w:rsidP="00445425">
      <w:pPr>
        <w:jc w:val="both"/>
        <w:rPr>
          <w:rFonts w:ascii="Times New Roman" w:hAnsi="Times New Roman" w:cs="Times New Roman"/>
        </w:rPr>
      </w:pPr>
      <w:r w:rsidRPr="00445425">
        <w:rPr>
          <w:rFonts w:ascii="Times New Roman" w:hAnsi="Times New Roman" w:cs="Times New Roman"/>
        </w:rPr>
        <w:t>Unos plazos más razonables no solo benefician a los vecinos, sino que incrementan la probabilidad de cobro efectivo por parte del Ayuntamiento, al evitar la morosidad, el paso a ejecutiva y el abandono del pago por imposibilidad material.</w:t>
      </w:r>
    </w:p>
    <w:p w14:paraId="1823938F" w14:textId="403392E8" w:rsidR="00445425" w:rsidRPr="00445425" w:rsidRDefault="00445425" w:rsidP="00445425">
      <w:pPr>
        <w:jc w:val="both"/>
        <w:rPr>
          <w:rFonts w:ascii="Times New Roman" w:hAnsi="Times New Roman" w:cs="Times New Roman"/>
          <w:bCs/>
        </w:rPr>
      </w:pPr>
      <w:r w:rsidRPr="00676F9E">
        <w:rPr>
          <w:rFonts w:ascii="Times New Roman" w:hAnsi="Times New Roman" w:cs="Times New Roman"/>
          <w:bCs/>
        </w:rPr>
        <w:t>Por todo lo anteriormente expuesto, el Grupo Municipal Popular presenta al Pleno del Ayuntamiento de Abarán para debate y aprobación, si procede, de la siguiente</w:t>
      </w:r>
      <w:r w:rsidRPr="00445425">
        <w:rPr>
          <w:rFonts w:ascii="Times New Roman" w:hAnsi="Times New Roman" w:cs="Times New Roman"/>
        </w:rPr>
        <w:t>:</w:t>
      </w:r>
    </w:p>
    <w:p w14:paraId="1BEEF3ED" w14:textId="77777777" w:rsidR="00445425" w:rsidRPr="00445425" w:rsidRDefault="00445425" w:rsidP="00445425">
      <w:pPr>
        <w:jc w:val="both"/>
        <w:rPr>
          <w:rFonts w:ascii="Times New Roman" w:hAnsi="Times New Roman" w:cs="Times New Roman"/>
        </w:rPr>
      </w:pPr>
    </w:p>
    <w:p w14:paraId="27E09CBB" w14:textId="7A9F8659" w:rsidR="00445425" w:rsidRPr="00445425" w:rsidRDefault="00445425" w:rsidP="00445425">
      <w:pPr>
        <w:jc w:val="center"/>
        <w:rPr>
          <w:rFonts w:ascii="Times New Roman" w:hAnsi="Times New Roman" w:cs="Times New Roman"/>
        </w:rPr>
      </w:pPr>
      <w:r w:rsidRPr="00445425">
        <w:rPr>
          <w:rFonts w:ascii="Times New Roman" w:hAnsi="Times New Roman" w:cs="Times New Roman"/>
        </w:rPr>
        <w:t>PROPUESTA DE ACUERDO</w:t>
      </w:r>
      <w:r>
        <w:rPr>
          <w:rFonts w:ascii="Times New Roman" w:hAnsi="Times New Roman" w:cs="Times New Roman"/>
        </w:rPr>
        <w:t>S</w:t>
      </w:r>
    </w:p>
    <w:p w14:paraId="6EE98C38" w14:textId="06F36406" w:rsidR="00445425" w:rsidRPr="00445425" w:rsidRDefault="00445425" w:rsidP="00445425">
      <w:pPr>
        <w:pStyle w:val="Prrafodelista"/>
        <w:numPr>
          <w:ilvl w:val="0"/>
          <w:numId w:val="1"/>
        </w:numPr>
        <w:jc w:val="both"/>
        <w:rPr>
          <w:rFonts w:ascii="Times New Roman" w:hAnsi="Times New Roman" w:cs="Times New Roman"/>
        </w:rPr>
      </w:pPr>
      <w:r w:rsidRPr="00445425">
        <w:rPr>
          <w:rFonts w:ascii="Times New Roman" w:hAnsi="Times New Roman" w:cs="Times New Roman"/>
        </w:rPr>
        <w:t>Que el Ayuntamiento de Abarán inicie un expediente administrativo para la modificación del artículo 32 de la Ordenanza Fiscal General, con el fin de ampliar los plazos máximos de aplazamiento y fraccionamiento de deudas de derecho público, permitiendo, en supuestos debidamente justificados, periodos de entre 48 y 60 meses.</w:t>
      </w:r>
    </w:p>
    <w:p w14:paraId="10B53BD4" w14:textId="7D7B03D4" w:rsidR="00445425" w:rsidRPr="00445425" w:rsidRDefault="00445425" w:rsidP="00445425">
      <w:pPr>
        <w:pStyle w:val="Prrafodelista"/>
        <w:numPr>
          <w:ilvl w:val="0"/>
          <w:numId w:val="1"/>
        </w:numPr>
        <w:jc w:val="both"/>
        <w:rPr>
          <w:rFonts w:ascii="Times New Roman" w:hAnsi="Times New Roman" w:cs="Times New Roman"/>
        </w:rPr>
      </w:pPr>
      <w:r w:rsidRPr="00445425">
        <w:rPr>
          <w:rFonts w:ascii="Times New Roman" w:hAnsi="Times New Roman" w:cs="Times New Roman"/>
        </w:rPr>
        <w:t>Que se ordene la elaboración de un informe por parte de Tesorería, Intervención y Secretaría, en el que se analicen las opciones más adecuadas para establecer un sistema de fraccionamiento más flexible, equilibrado y acorde con la situación económica actual de los ciudadanos.</w:t>
      </w:r>
    </w:p>
    <w:p w14:paraId="05EB87B0" w14:textId="7588B5BD" w:rsidR="00445425" w:rsidRPr="00445425" w:rsidRDefault="00445425" w:rsidP="00445425">
      <w:pPr>
        <w:pStyle w:val="Prrafodelista"/>
        <w:numPr>
          <w:ilvl w:val="0"/>
          <w:numId w:val="1"/>
        </w:numPr>
        <w:jc w:val="both"/>
        <w:rPr>
          <w:rFonts w:ascii="Times New Roman" w:hAnsi="Times New Roman" w:cs="Times New Roman"/>
        </w:rPr>
      </w:pPr>
      <w:r w:rsidRPr="00445425">
        <w:rPr>
          <w:rFonts w:ascii="Times New Roman" w:hAnsi="Times New Roman" w:cs="Times New Roman"/>
        </w:rPr>
        <w:t>Que se dé traslado de este acuerdo a los servicios económicos municipales con el fin de promover un modelo de recaudación más eficiente, socialmente razonable y sostenible.</w:t>
      </w:r>
    </w:p>
    <w:p w14:paraId="78054668" w14:textId="7CD8F94F" w:rsidR="00445425" w:rsidRDefault="00445425" w:rsidP="00445425">
      <w:pPr>
        <w:pStyle w:val="Prrafodelista"/>
        <w:numPr>
          <w:ilvl w:val="0"/>
          <w:numId w:val="1"/>
        </w:numPr>
        <w:jc w:val="both"/>
        <w:rPr>
          <w:rFonts w:ascii="Times New Roman" w:hAnsi="Times New Roman" w:cs="Times New Roman"/>
        </w:rPr>
      </w:pPr>
      <w:r w:rsidRPr="00445425">
        <w:rPr>
          <w:rFonts w:ascii="Times New Roman" w:hAnsi="Times New Roman" w:cs="Times New Roman"/>
        </w:rPr>
        <w:t>Que, mientras se tramite la modificación de la ordenanza, se aplique con la máxima amplitud interpretativa el artículo 32.6 para evitar situaciones de asfixia financiera entre los vecinos que soliciten fraccionamiento y acrediten dificultades económicas.</w:t>
      </w:r>
    </w:p>
    <w:p w14:paraId="3C7BAA2E" w14:textId="77777777" w:rsidR="00445425" w:rsidRDefault="00445425" w:rsidP="00445425">
      <w:pPr>
        <w:pStyle w:val="Prrafodelista"/>
        <w:spacing w:before="100" w:beforeAutospacing="1"/>
        <w:rPr>
          <w:rFonts w:ascii="Times New Roman" w:hAnsi="Times New Roman" w:cs="Times New Roman"/>
          <w:bCs/>
          <w:lang w:eastAsia="es-ES"/>
        </w:rPr>
      </w:pPr>
    </w:p>
    <w:p w14:paraId="7C65E580" w14:textId="18B40535" w:rsidR="00445425" w:rsidRPr="00445425" w:rsidRDefault="00445425" w:rsidP="00445425">
      <w:pPr>
        <w:pStyle w:val="Prrafodelista"/>
        <w:spacing w:before="100" w:beforeAutospacing="1"/>
        <w:jc w:val="center"/>
        <w:rPr>
          <w:rFonts w:ascii="Times New Roman" w:hAnsi="Times New Roman" w:cs="Times New Roman"/>
          <w:bCs/>
          <w:lang w:eastAsia="es-ES"/>
        </w:rPr>
      </w:pPr>
      <w:r w:rsidRPr="00445425">
        <w:rPr>
          <w:rFonts w:ascii="Times New Roman" w:hAnsi="Times New Roman" w:cs="Times New Roman"/>
          <w:bCs/>
          <w:lang w:eastAsia="es-ES"/>
        </w:rPr>
        <w:t xml:space="preserve">En Abarán, a </w:t>
      </w:r>
      <w:r w:rsidR="00133FF7">
        <w:rPr>
          <w:rFonts w:ascii="Times New Roman" w:hAnsi="Times New Roman" w:cs="Times New Roman"/>
          <w:bCs/>
          <w:lang w:eastAsia="es-ES"/>
        </w:rPr>
        <w:t>20</w:t>
      </w:r>
      <w:r w:rsidRPr="00445425">
        <w:rPr>
          <w:rFonts w:ascii="Times New Roman" w:hAnsi="Times New Roman" w:cs="Times New Roman"/>
          <w:bCs/>
          <w:lang w:eastAsia="es-ES"/>
        </w:rPr>
        <w:t xml:space="preserve"> de </w:t>
      </w:r>
      <w:r>
        <w:rPr>
          <w:rFonts w:ascii="Times New Roman" w:hAnsi="Times New Roman" w:cs="Times New Roman"/>
          <w:bCs/>
          <w:lang w:eastAsia="es-ES"/>
        </w:rPr>
        <w:t>enero</w:t>
      </w:r>
      <w:r w:rsidRPr="00445425">
        <w:rPr>
          <w:rFonts w:ascii="Times New Roman" w:hAnsi="Times New Roman" w:cs="Times New Roman"/>
          <w:bCs/>
          <w:lang w:eastAsia="es-ES"/>
        </w:rPr>
        <w:t xml:space="preserve"> de 202</w:t>
      </w:r>
      <w:r>
        <w:rPr>
          <w:rFonts w:ascii="Times New Roman" w:hAnsi="Times New Roman" w:cs="Times New Roman"/>
          <w:bCs/>
          <w:lang w:eastAsia="es-ES"/>
        </w:rPr>
        <w:t>6</w:t>
      </w:r>
    </w:p>
    <w:p w14:paraId="6C2266E5" w14:textId="77777777" w:rsidR="00445425" w:rsidRPr="00445425" w:rsidRDefault="00445425" w:rsidP="00445425">
      <w:pPr>
        <w:pStyle w:val="Prrafodelista"/>
        <w:spacing w:before="100" w:beforeAutospacing="1"/>
        <w:jc w:val="center"/>
        <w:rPr>
          <w:rFonts w:ascii="Times New Roman" w:hAnsi="Times New Roman" w:cs="Times New Roman"/>
          <w:bCs/>
          <w:lang w:eastAsia="es-ES"/>
        </w:rPr>
      </w:pPr>
    </w:p>
    <w:p w14:paraId="7ED241B8" w14:textId="77777777" w:rsidR="00445425" w:rsidRPr="00445425" w:rsidRDefault="00445425" w:rsidP="00445425">
      <w:pPr>
        <w:pStyle w:val="Prrafodelista"/>
        <w:jc w:val="center"/>
        <w:rPr>
          <w:rFonts w:ascii="Times New Roman" w:hAnsi="Times New Roman" w:cs="Times New Roman"/>
          <w:bCs/>
          <w:lang w:eastAsia="es-ES"/>
        </w:rPr>
      </w:pPr>
      <w:r w:rsidRPr="00445425">
        <w:rPr>
          <w:rFonts w:ascii="Times New Roman" w:hAnsi="Times New Roman" w:cs="Times New Roman"/>
          <w:bCs/>
          <w:lang w:eastAsia="es-ES"/>
        </w:rPr>
        <w:t>David Pérez Sánchez</w:t>
      </w:r>
    </w:p>
    <w:p w14:paraId="63302AA6" w14:textId="77777777" w:rsidR="00445425" w:rsidRPr="00445425" w:rsidRDefault="00445425" w:rsidP="00445425">
      <w:pPr>
        <w:pStyle w:val="Prrafodelista"/>
        <w:jc w:val="center"/>
        <w:rPr>
          <w:rFonts w:ascii="Times New Roman" w:hAnsi="Times New Roman" w:cs="Times New Roman"/>
          <w:bCs/>
          <w:lang w:eastAsia="es-ES"/>
        </w:rPr>
      </w:pPr>
      <w:r w:rsidRPr="00445425">
        <w:rPr>
          <w:rFonts w:ascii="Times New Roman" w:hAnsi="Times New Roman" w:cs="Times New Roman"/>
          <w:bCs/>
          <w:lang w:eastAsia="es-ES"/>
        </w:rPr>
        <w:t>Portavoz del Grupo Municipal Popular</w:t>
      </w:r>
    </w:p>
    <w:p w14:paraId="43CB19EB" w14:textId="77777777" w:rsidR="00445425" w:rsidRPr="00445425" w:rsidRDefault="00445425" w:rsidP="00445425">
      <w:pPr>
        <w:jc w:val="both"/>
        <w:rPr>
          <w:rFonts w:ascii="Times New Roman" w:hAnsi="Times New Roman" w:cs="Times New Roman"/>
        </w:rPr>
      </w:pPr>
    </w:p>
    <w:sectPr w:rsidR="00445425" w:rsidRPr="0044542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0214" w14:textId="77777777" w:rsidR="00C678A8" w:rsidRDefault="00C678A8" w:rsidP="00445425">
      <w:pPr>
        <w:spacing w:after="0" w:line="240" w:lineRule="auto"/>
      </w:pPr>
      <w:r>
        <w:separator/>
      </w:r>
    </w:p>
  </w:endnote>
  <w:endnote w:type="continuationSeparator" w:id="0">
    <w:p w14:paraId="0E86F38F" w14:textId="77777777" w:rsidR="00C678A8" w:rsidRDefault="00C678A8" w:rsidP="0044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5DAF" w14:textId="77777777" w:rsidR="00C678A8" w:rsidRDefault="00C678A8" w:rsidP="00445425">
      <w:pPr>
        <w:spacing w:after="0" w:line="240" w:lineRule="auto"/>
      </w:pPr>
      <w:r>
        <w:separator/>
      </w:r>
    </w:p>
  </w:footnote>
  <w:footnote w:type="continuationSeparator" w:id="0">
    <w:p w14:paraId="4F60D80C" w14:textId="77777777" w:rsidR="00C678A8" w:rsidRDefault="00C678A8" w:rsidP="00445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E933" w14:textId="264DB237" w:rsidR="00445425" w:rsidRDefault="00445425">
    <w:pPr>
      <w:pStyle w:val="Encabezado"/>
    </w:pPr>
    <w:r>
      <w:rPr>
        <w:noProof/>
      </w:rPr>
      <w:drawing>
        <wp:anchor distT="0" distB="0" distL="114300" distR="114300" simplePos="0" relativeHeight="251661312" behindDoc="0" locked="0" layoutInCell="1" allowOverlap="1" wp14:anchorId="7D1774F9" wp14:editId="069979F7">
          <wp:simplePos x="0" y="0"/>
          <wp:positionH relativeFrom="column">
            <wp:posOffset>3777843</wp:posOffset>
          </wp:positionH>
          <wp:positionV relativeFrom="paragraph">
            <wp:posOffset>-414619</wp:posOffset>
          </wp:positionV>
          <wp:extent cx="1477010" cy="816610"/>
          <wp:effectExtent l="0" t="0" r="0" b="0"/>
          <wp:wrapSquare wrapText="bothSides"/>
          <wp:docPr id="2" name="0 Imagen" descr="Imagen que contiene 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descr="Imagen que contiene Texto&#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01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884740F" wp14:editId="6B800A99">
          <wp:simplePos x="0" y="0"/>
          <wp:positionH relativeFrom="column">
            <wp:posOffset>-51759</wp:posOffset>
          </wp:positionH>
          <wp:positionV relativeFrom="paragraph">
            <wp:posOffset>-242091</wp:posOffset>
          </wp:positionV>
          <wp:extent cx="3119755" cy="539750"/>
          <wp:effectExtent l="0" t="0" r="0" b="0"/>
          <wp:wrapSquare wrapText="bothSides"/>
          <wp:docPr id="32986291" name="Imagen 32986291" descr="Un letrero azul con letras blancas&#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Un letrero azul con letras blancas&#10;&#10;Descripción generada automáticamente con confianza media"/>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1975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0357D"/>
    <w:multiLevelType w:val="hybridMultilevel"/>
    <w:tmpl w:val="C67C0FDC"/>
    <w:lvl w:ilvl="0" w:tplc="4CCCAF4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6BBB42AB"/>
    <w:multiLevelType w:val="hybridMultilevel"/>
    <w:tmpl w:val="FDD4384A"/>
    <w:lvl w:ilvl="0" w:tplc="8A5E9E78">
      <w:start w:val="4"/>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99069594">
    <w:abstractNumId w:val="0"/>
  </w:num>
  <w:num w:numId="2" w16cid:durableId="866256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25"/>
    <w:rsid w:val="00083079"/>
    <w:rsid w:val="00133FF7"/>
    <w:rsid w:val="001F102B"/>
    <w:rsid w:val="00445425"/>
    <w:rsid w:val="00C67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7168"/>
  <w15:chartTrackingRefBased/>
  <w15:docId w15:val="{45C69DF0-B972-5742-A699-82B9E8E7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5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5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454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54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54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54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54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54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54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54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54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54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54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54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54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54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54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5425"/>
    <w:rPr>
      <w:rFonts w:eastAsiaTheme="majorEastAsia" w:cstheme="majorBidi"/>
      <w:color w:val="272727" w:themeColor="text1" w:themeTint="D8"/>
    </w:rPr>
  </w:style>
  <w:style w:type="paragraph" w:styleId="Ttulo">
    <w:name w:val="Title"/>
    <w:basedOn w:val="Normal"/>
    <w:next w:val="Normal"/>
    <w:link w:val="TtuloCar"/>
    <w:uiPriority w:val="10"/>
    <w:qFormat/>
    <w:rsid w:val="00445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54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54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54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5425"/>
    <w:pPr>
      <w:spacing w:before="160"/>
      <w:jc w:val="center"/>
    </w:pPr>
    <w:rPr>
      <w:i/>
      <w:iCs/>
      <w:color w:val="404040" w:themeColor="text1" w:themeTint="BF"/>
    </w:rPr>
  </w:style>
  <w:style w:type="character" w:customStyle="1" w:styleId="CitaCar">
    <w:name w:val="Cita Car"/>
    <w:basedOn w:val="Fuentedeprrafopredeter"/>
    <w:link w:val="Cita"/>
    <w:uiPriority w:val="29"/>
    <w:rsid w:val="00445425"/>
    <w:rPr>
      <w:i/>
      <w:iCs/>
      <w:color w:val="404040" w:themeColor="text1" w:themeTint="BF"/>
    </w:rPr>
  </w:style>
  <w:style w:type="paragraph" w:styleId="Prrafodelista">
    <w:name w:val="List Paragraph"/>
    <w:basedOn w:val="Normal"/>
    <w:uiPriority w:val="34"/>
    <w:qFormat/>
    <w:rsid w:val="00445425"/>
    <w:pPr>
      <w:ind w:left="720"/>
      <w:contextualSpacing/>
    </w:pPr>
  </w:style>
  <w:style w:type="character" w:styleId="nfasisintenso">
    <w:name w:val="Intense Emphasis"/>
    <w:basedOn w:val="Fuentedeprrafopredeter"/>
    <w:uiPriority w:val="21"/>
    <w:qFormat/>
    <w:rsid w:val="00445425"/>
    <w:rPr>
      <w:i/>
      <w:iCs/>
      <w:color w:val="0F4761" w:themeColor="accent1" w:themeShade="BF"/>
    </w:rPr>
  </w:style>
  <w:style w:type="paragraph" w:styleId="Citadestacada">
    <w:name w:val="Intense Quote"/>
    <w:basedOn w:val="Normal"/>
    <w:next w:val="Normal"/>
    <w:link w:val="CitadestacadaCar"/>
    <w:uiPriority w:val="30"/>
    <w:qFormat/>
    <w:rsid w:val="0044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5425"/>
    <w:rPr>
      <w:i/>
      <w:iCs/>
      <w:color w:val="0F4761" w:themeColor="accent1" w:themeShade="BF"/>
    </w:rPr>
  </w:style>
  <w:style w:type="character" w:styleId="Referenciaintensa">
    <w:name w:val="Intense Reference"/>
    <w:basedOn w:val="Fuentedeprrafopredeter"/>
    <w:uiPriority w:val="32"/>
    <w:qFormat/>
    <w:rsid w:val="00445425"/>
    <w:rPr>
      <w:b/>
      <w:bCs/>
      <w:smallCaps/>
      <w:color w:val="0F4761" w:themeColor="accent1" w:themeShade="BF"/>
      <w:spacing w:val="5"/>
    </w:rPr>
  </w:style>
  <w:style w:type="paragraph" w:styleId="Encabezado">
    <w:name w:val="header"/>
    <w:basedOn w:val="Normal"/>
    <w:link w:val="EncabezadoCar"/>
    <w:uiPriority w:val="99"/>
    <w:unhideWhenUsed/>
    <w:rsid w:val="004454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5425"/>
  </w:style>
  <w:style w:type="paragraph" w:styleId="Piedepgina">
    <w:name w:val="footer"/>
    <w:basedOn w:val="Normal"/>
    <w:link w:val="PiedepginaCar"/>
    <w:uiPriority w:val="99"/>
    <w:unhideWhenUsed/>
    <w:rsid w:val="004454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5425"/>
  </w:style>
  <w:style w:type="character" w:customStyle="1" w:styleId="Ninguno">
    <w:name w:val="Ninguno"/>
    <w:rsid w:val="0044542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707</Words>
  <Characters>3889</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Pérez Sánchez</dc:creator>
  <cp:keywords/>
  <dc:description/>
  <cp:lastModifiedBy>David Pérez Sánchez</cp:lastModifiedBy>
  <cp:revision>2</cp:revision>
  <dcterms:created xsi:type="dcterms:W3CDTF">2026-01-19T15:37:00Z</dcterms:created>
  <dcterms:modified xsi:type="dcterms:W3CDTF">2026-01-20T10:14:00Z</dcterms:modified>
</cp:coreProperties>
</file>